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Coaching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New client intake for a coaching engagement. Sets the goal, the baseline and the working agreement before session one.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PRONOUNS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TIME ZONE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ROLE AND ORGANISATION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IS PAYING FOR THE COACHING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Where you are now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PROMPTED YOU TO SEEK COACHING NOW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IS WORKING WELL ALREADY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IS GETTING IN THE WAY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FOCUS AREAS (TICK UP TO THREE)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Career direction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Leadership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Confidence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Communication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Time and priorities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Difficult conversations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Business growth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Work-life balance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Decision making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Team performance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Transition or change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Accountability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Where you want to be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PRIMARY GOAL FOR THIS ENGAGEMENT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WILL YOU KNOW YOU GOT THERE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BY WHEN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HAVE YOU ALREADY TRIED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STOPPED IT WORKING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How you work best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WHAT HELPS YOU MAKE PROGRESS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Direct challenge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Space to think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Written follow-ups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Between-session tasks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Regular check-ins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Deadlines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A PREVIOUS COACH, MANAGER OR MENTOR DID THAT WORKED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YOU WOULD RATHER I DID NOT DO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Logistics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SESSION FREQUENCY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SESSION LENGTH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PREFERRED DAY AND TIME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FORMAT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 person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Video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Telephone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HOW DID YOU HEAR ABOUT THIS PRACTICE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BY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Working agreement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coaching is not therapy, counselling or clinical treatment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what is confidential and what is reported back to a sponsoring organisation, if any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the cancellation and rescheduling policy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take responsibility for the actions I choose and the results that follow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COACH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