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sz w:val="4"/>
        </w:rPr>
        <w:t xml:space="preserve"> </w:t>
      </w:r>
    </w:p>
    <w:p>
      <w:pPr>
        <w:spacing w:after="40"/>
      </w:pPr>
      <w:r>
        <w:rPr>
          <w:rFonts w:ascii="Inter" w:hAnsi="Inter"/>
          <w:b/>
          <w:color w:val="15101F"/>
          <w:sz w:val="40"/>
        </w:rPr>
        <w:t>Legal Client Intake Form</w:t>
      </w:r>
    </w:p>
    <w:p>
      <w:pPr>
        <w:spacing w:after="280"/>
      </w:pPr>
      <w:r>
        <w:rPr>
          <w:rFonts w:ascii="Inter" w:hAnsi="Inter"/>
          <w:b w:val="0"/>
          <w:color w:val="73707A"/>
          <w:sz w:val="19"/>
        </w:rPr>
        <w:t>General new matter intake for a law firm. Captures the parties, the issue, the conflict check and the engagement basis.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Enquiry details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 OF ENQUIRY</w:t>
            </w:r>
          </w:p>
        </w:tc>
        <w:tc>
          <w:tcPr>
            <w:tcW w:type="dxa" w:w="216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TAKEN BY</w:t>
            </w:r>
          </w:p>
        </w:tc>
        <w:tc>
          <w:tcPr>
            <w:tcW w:type="dxa" w:w="216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PRACTICE AREA</w:t>
            </w:r>
          </w:p>
        </w:tc>
        <w:tc>
          <w:tcPr>
            <w:tcW w:type="dxa" w:w="216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MATTER NUMBER</w:t>
            </w:r>
          </w:p>
        </w:tc>
      </w:tr>
      <w:tr>
        <w:tc>
          <w:tcPr>
            <w:tcW w:type="dxa" w:w="216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16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16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16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HOW THE ENQUIRY ARRIVED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Phone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Website form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Email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Walk in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Referral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Existing client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Online search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Advertising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REFERRED BY (PERSON, FIRM OR SOURCE)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REFERRAL FEE APPLIES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Prospective client</w:t>
      </w: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CLIENT TYPE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Individual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Company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Trust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Partnership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FULL LEGAL NAME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TRADING NAME, IF ANY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COMPANY OR ENTITY NUMBER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 OF BIRTH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OCCUPATION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ADDRESS FOR SERVICE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POSTCODE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MOBILE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EMAIL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PREFERRED CONTACT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IDENTITY DOCUMENTS SIGHTED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VERIFIED BY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Other parties</w:t>
      </w:r>
    </w:p>
    <w:p>
      <w:pPr>
        <w:spacing w:after="120"/>
      </w:pPr>
      <w:r>
        <w:rPr>
          <w:rFonts w:ascii="Inter" w:hAnsi="Inter"/>
          <w:b w:val="0"/>
          <w:color w:val="73707A"/>
          <w:sz w:val="17"/>
        </w:rPr>
        <w:t>List everyone with an interest in the matter. This drives the conflict check.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NAME</w:t>
            </w:r>
          </w:p>
        </w:tc>
        <w:tc>
          <w:tcPr>
            <w:tcW w:type="dxa" w:w="2160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ROLE IN THE MATTER</w:t>
            </w:r>
          </w:p>
        </w:tc>
        <w:tc>
          <w:tcPr>
            <w:tcW w:type="dxa" w:w="2160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THEIR REPRESENTATIVE</w:t>
            </w:r>
          </w:p>
        </w:tc>
        <w:tc>
          <w:tcPr>
            <w:tcW w:type="dxa" w:w="2160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RELATIONSHIP TO CLIENT</w:t>
            </w:r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</w:tbl>
    <w:p>
      <w:pPr>
        <w:spacing w:after="8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Conflict check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Search completed, no conflict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Potential conflict identified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Conflict, cannot act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Informed consent required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SEARCHED BY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NOTES AND RESOLUTION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The matter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SUMMARY OF THE ISSUE IN THE CLIENT'S WORDS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WHAT OUTCOME DOES THE CLIENT WANT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KEY DATES AND DEADLINES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ANY LIMITATION DATE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URGENCY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DOCUMENTS PROVIDED AT INTAKE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PROCEEDINGS STATUS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None commenced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Threatened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Commenced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Judgment entered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COURT OR TRIBUNAL AND FILE NUMBER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NEXT LISTED DATE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Prior advice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PREVIOUS LAWYERS CONSULTED ON THIS MATTER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WHY THEY ARE NO LONGER ACTING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Engagement basis</w:t>
      </w: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PROPOSED FEE ARRANGEMENT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Hourly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Fixed fee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Conditional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Retainer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Legal aid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Insurer funded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Not yet discussed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ESTIMATE GIVEN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MONEY ON ACCOUNT REQUIRED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COSTS DISCLOSURE SENT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INTAKE OUTCOME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Accept, open file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Decline, send letter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Refer out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Pending partner review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REASON FOR OUTCOME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RESPONSIBLE LAWYER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160"/>
        <w:ind w:left="170"/>
      </w:pPr>
      <w:r>
        <w:rPr>
          <w:rFonts w:ascii="Inter" w:hAnsi="Inter"/>
          <w:b w:val="0"/>
          <w:color w:val="73707A"/>
          <w:sz w:val="18"/>
        </w:rPr>
        <w:t>Send a non-engagement letter to every declined enquiry. An enquiry that receives no written response is the most common source of a mistaken belief that the firm was acting.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Acknowledgement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understand no lawyer and client relationship exists until a costs agreement is signed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The information I have given is true and complete to the best of my knowledge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have been told the firm must complete identity and conflict checks before acting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PROSPECTIVE CLIENT SIGNATURE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PRINT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3707A"/>
        <w:sz w:val="16"/>
      </w:rPr>
      <w:t>Free template from Lead Source. leadsource.co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